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sz w:val="24"/>
        </w:rPr>
        <w:t>様式</w:t>
      </w:r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７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24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キャッシュフローの状況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621" w:tblpY="345"/>
        <w:tblW w:w="0" w:type="auto"/>
        <w:shd w:val="clear" w:color="auto" w:fill="auto"/>
        <w:tblLayout w:type="fixed"/>
        <w:tblLook w:firstRow="1" w:lastRow="0" w:firstColumn="1" w:lastColumn="0" w:noHBand="0" w:noVBand="1" w:val="04A0"/>
      </w:tblPr>
      <w:tblGrid>
        <w:gridCol w:w="2730"/>
        <w:gridCol w:w="7350"/>
        <w:gridCol w:w="2520"/>
      </w:tblGrid>
      <w:tr>
        <w:trPr>
          <w:trHeight w:val="1540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color w:val="auto"/>
                <w:sz w:val="24"/>
              </w:rPr>
              <w:t>令和７</w:t>
            </w:r>
            <w:r>
              <w:rPr>
                <w:rFonts w:hint="eastAsia" w:ascii="BIZ UDゴシック" w:hAnsi="BIZ UDゴシック" w:eastAsia="BIZ UDゴシック"/>
                <w:sz w:val="24"/>
              </w:rPr>
              <w:t>年度</w:t>
            </w:r>
          </w:p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営業活動による</w:t>
            </w:r>
          </w:p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キャッシュフロー</w:t>
            </w:r>
          </w:p>
        </w:tc>
        <w:tc>
          <w:tcPr>
            <w:tcW w:w="7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  <w:tc>
          <w:tcPr>
            <w:tcW w:w="25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  <w:r>
              <w:rPr>
                <w:rFonts w:hint="eastAsia" w:ascii="BIZ UDゴシック" w:hAnsi="BIZ UDゴシック" w:eastAsia="BIZ UDゴシック"/>
                <w:sz w:val="24"/>
                <w:highlight w:val="none"/>
              </w:rPr>
              <w:t>円</w:t>
            </w: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ind w:left="0" w:leftChars="0" w:right="-1128" w:rightChars="-537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※令和７</w:t>
      </w:r>
      <w:r>
        <w:rPr>
          <w:rFonts w:hint="eastAsia" w:ascii="BIZ UDゴシック" w:hAnsi="BIZ UDゴシック" w:eastAsia="BIZ UDゴシック"/>
          <w:color w:val="auto"/>
          <w:sz w:val="24"/>
          <w:u w:val="none" w:color="auto"/>
        </w:rPr>
        <w:t>年４月１日から令和８年３月３１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日までの事業年度の有価証券報告書のキャッシュフロー計算書の数値を用いること。</w:t>
      </w:r>
    </w:p>
    <w:p>
      <w:pPr>
        <w:pStyle w:val="0"/>
        <w:ind w:left="0" w:leftChars="0" w:firstLine="0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※決算月が３月以外の場合は、直近の確定した損益計算書の数値を用いること。</w:t>
      </w:r>
    </w:p>
    <w:p>
      <w:pPr>
        <w:pStyle w:val="0"/>
        <w:ind w:left="0" w:leftChars="0" w:firstLine="0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※連結親会社の場合は、連結財務諸表を、連結子会社の場合は、単体の財務諸表の数値を用いること。</w:t>
      </w:r>
    </w:p>
    <w:p>
      <w:pPr>
        <w:pStyle w:val="0"/>
        <w:ind w:left="0" w:leftChars="0" w:firstLine="0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※数値を引用した決算書を添付のうえ、引用数値をマーカーで明示すること。</w:t>
      </w:r>
    </w:p>
    <w:p>
      <w:pPr>
        <w:pStyle w:val="0"/>
        <w:ind w:left="0" w:leftChars="0" w:firstLine="0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※上場企業であるか否かにかかわらず、キャッシュフロー計算書を作成していれば、その内容を評価する。</w:t>
      </w:r>
    </w:p>
    <w:p>
      <w:pPr>
        <w:pStyle w:val="0"/>
        <w:ind w:left="0" w:leftChars="0" w:firstLine="0" w:firstLineChars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※共同事業体での提案の場合、代表法人の数値を評価する。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83</TotalTime>
  <Pages>1</Pages>
  <Words>0</Words>
  <Characters>289</Characters>
  <Application>JUST Note</Application>
  <Lines>26</Lines>
  <Paragraphs>13</Paragraphs>
  <Company>箕面市役所</Company>
  <CharactersWithSpaces>323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2026-08-03T09:14:34Z</dcterms:modified>
  <cp:revision>4</cp:revision>
</cp:coreProperties>
</file>